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2D6857">
        <w:rPr>
          <w:rFonts w:ascii="Palatino Linotype" w:hAnsi="Palatino Linotype" w:cs="Arial"/>
          <w:b/>
          <w:sz w:val="24"/>
          <w:szCs w:val="24"/>
        </w:rPr>
        <w:t>02429</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72966" w:rsidRDefault="0046491C" w:rsidP="00E34F08">
      <w:pPr>
        <w:spacing w:after="0" w:line="24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702BD9" w:rsidRPr="00072966" w:rsidRDefault="00702BD9" w:rsidP="00E34F08">
      <w:pPr>
        <w:spacing w:after="0" w:line="36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702BD9" w:rsidRDefault="00702BD9" w:rsidP="00E34F08">
      <w:pPr>
        <w:spacing w:after="0" w:line="360" w:lineRule="auto"/>
        <w:jc w:val="both"/>
        <w:rPr>
          <w:rFonts w:ascii="Palatino Linotype" w:hAnsi="Palatino Linotype" w:cs="Arial"/>
          <w:sz w:val="24"/>
          <w:szCs w:val="24"/>
        </w:rPr>
      </w:pPr>
    </w:p>
    <w:p w:rsidR="00702BD9" w:rsidRPr="00072966" w:rsidRDefault="00702BD9"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7C43FB"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5572735" w:history="1">
            <w:r w:rsidR="007C43FB" w:rsidRPr="00CA42C3">
              <w:rPr>
                <w:rStyle w:val="Hipervnculo"/>
                <w:rFonts w:ascii="Palatino Linotype" w:hAnsi="Palatino Linotype"/>
                <w:b/>
                <w:noProof/>
              </w:rPr>
              <w:t>I.</w:t>
            </w:r>
            <w:r w:rsidR="007C43FB">
              <w:rPr>
                <w:rFonts w:eastAsiaTheme="minorEastAsia"/>
                <w:noProof/>
                <w:lang w:eastAsia="es-MX"/>
              </w:rPr>
              <w:tab/>
            </w:r>
            <w:r w:rsidR="007C43FB" w:rsidRPr="00CA42C3">
              <w:rPr>
                <w:rStyle w:val="Hipervnculo"/>
                <w:rFonts w:ascii="Palatino Linotype" w:hAnsi="Palatino Linotype"/>
                <w:b/>
                <w:noProof/>
              </w:rPr>
              <w:t>Consideraciones Generales.</w:t>
            </w:r>
            <w:r w:rsidR="007C43FB">
              <w:rPr>
                <w:noProof/>
                <w:webHidden/>
              </w:rPr>
              <w:tab/>
            </w:r>
            <w:r w:rsidR="007C43FB">
              <w:rPr>
                <w:noProof/>
                <w:webHidden/>
              </w:rPr>
              <w:fldChar w:fldCharType="begin"/>
            </w:r>
            <w:r w:rsidR="007C43FB">
              <w:rPr>
                <w:noProof/>
                <w:webHidden/>
              </w:rPr>
              <w:instrText xml:space="preserve"> PAGEREF _Toc525572735 \h </w:instrText>
            </w:r>
            <w:r w:rsidR="007C43FB">
              <w:rPr>
                <w:noProof/>
                <w:webHidden/>
              </w:rPr>
            </w:r>
            <w:r w:rsidR="007C43FB">
              <w:rPr>
                <w:noProof/>
                <w:webHidden/>
              </w:rPr>
              <w:fldChar w:fldCharType="separate"/>
            </w:r>
            <w:r w:rsidR="007C43FB">
              <w:rPr>
                <w:noProof/>
                <w:webHidden/>
              </w:rPr>
              <w:t>2</w:t>
            </w:r>
            <w:r w:rsidR="007C43FB">
              <w:rPr>
                <w:noProof/>
                <w:webHidden/>
              </w:rPr>
              <w:fldChar w:fldCharType="end"/>
            </w:r>
          </w:hyperlink>
        </w:p>
        <w:p w:rsidR="007C43FB" w:rsidRDefault="00623180">
          <w:pPr>
            <w:pStyle w:val="TDC1"/>
            <w:tabs>
              <w:tab w:val="left" w:pos="660"/>
              <w:tab w:val="right" w:leader="dot" w:pos="8828"/>
            </w:tabs>
            <w:rPr>
              <w:rFonts w:eastAsiaTheme="minorEastAsia"/>
              <w:noProof/>
              <w:lang w:eastAsia="es-MX"/>
            </w:rPr>
          </w:pPr>
          <w:hyperlink w:anchor="_Toc525572736" w:history="1">
            <w:r w:rsidR="007C43FB" w:rsidRPr="00CA42C3">
              <w:rPr>
                <w:rStyle w:val="Hipervnculo"/>
                <w:rFonts w:ascii="Palatino Linotype" w:hAnsi="Palatino Linotype"/>
                <w:b/>
                <w:noProof/>
              </w:rPr>
              <w:t>II.</w:t>
            </w:r>
            <w:r w:rsidR="007C43FB">
              <w:rPr>
                <w:rFonts w:eastAsiaTheme="minorEastAsia"/>
                <w:noProof/>
                <w:lang w:eastAsia="es-MX"/>
              </w:rPr>
              <w:tab/>
            </w:r>
            <w:r w:rsidR="007C43FB" w:rsidRPr="00CA42C3">
              <w:rPr>
                <w:rStyle w:val="Hipervnculo"/>
                <w:rFonts w:ascii="Palatino Linotype" w:hAnsi="Palatino Linotype"/>
                <w:b/>
                <w:noProof/>
              </w:rPr>
              <w:t>De los requerimientos planteados en el recurso de revisión.</w:t>
            </w:r>
            <w:r w:rsidR="007C43FB">
              <w:rPr>
                <w:noProof/>
                <w:webHidden/>
              </w:rPr>
              <w:tab/>
            </w:r>
            <w:r w:rsidR="007C43FB">
              <w:rPr>
                <w:noProof/>
                <w:webHidden/>
              </w:rPr>
              <w:fldChar w:fldCharType="begin"/>
            </w:r>
            <w:r w:rsidR="007C43FB">
              <w:rPr>
                <w:noProof/>
                <w:webHidden/>
              </w:rPr>
              <w:instrText xml:space="preserve"> PAGEREF _Toc525572736 \h </w:instrText>
            </w:r>
            <w:r w:rsidR="007C43FB">
              <w:rPr>
                <w:noProof/>
                <w:webHidden/>
              </w:rPr>
            </w:r>
            <w:r w:rsidR="007C43FB">
              <w:rPr>
                <w:noProof/>
                <w:webHidden/>
              </w:rPr>
              <w:fldChar w:fldCharType="separate"/>
            </w:r>
            <w:r w:rsidR="007C43FB">
              <w:rPr>
                <w:noProof/>
                <w:webHidden/>
              </w:rPr>
              <w:t>3</w:t>
            </w:r>
            <w:r w:rsidR="007C43FB">
              <w:rPr>
                <w:noProof/>
                <w:webHidden/>
              </w:rPr>
              <w:fldChar w:fldCharType="end"/>
            </w:r>
          </w:hyperlink>
        </w:p>
        <w:p w:rsidR="007C43FB" w:rsidRDefault="00623180">
          <w:pPr>
            <w:pStyle w:val="TDC1"/>
            <w:tabs>
              <w:tab w:val="left" w:pos="660"/>
              <w:tab w:val="right" w:leader="dot" w:pos="8828"/>
            </w:tabs>
            <w:rPr>
              <w:rFonts w:eastAsiaTheme="minorEastAsia"/>
              <w:noProof/>
              <w:lang w:eastAsia="es-MX"/>
            </w:rPr>
          </w:pPr>
          <w:hyperlink w:anchor="_Toc525572737" w:history="1">
            <w:r w:rsidR="007C43FB" w:rsidRPr="00CA42C3">
              <w:rPr>
                <w:rStyle w:val="Hipervnculo"/>
                <w:rFonts w:ascii="Palatino Linotype" w:hAnsi="Palatino Linotype"/>
                <w:b/>
                <w:noProof/>
              </w:rPr>
              <w:t>III.</w:t>
            </w:r>
            <w:r w:rsidR="007C43FB">
              <w:rPr>
                <w:rFonts w:eastAsiaTheme="minorEastAsia"/>
                <w:noProof/>
                <w:lang w:eastAsia="es-MX"/>
              </w:rPr>
              <w:tab/>
            </w:r>
            <w:r w:rsidR="007C43FB" w:rsidRPr="00CA42C3">
              <w:rPr>
                <w:rStyle w:val="Hipervnculo"/>
                <w:rFonts w:ascii="Palatino Linotype" w:hAnsi="Palatino Linotype"/>
                <w:b/>
                <w:noProof/>
              </w:rPr>
              <w:t>Los actos consentidos no deben invocarse en el derecho fundamental de acceder a la información pública gubernamental.</w:t>
            </w:r>
            <w:r w:rsidR="007C43FB">
              <w:rPr>
                <w:noProof/>
                <w:webHidden/>
              </w:rPr>
              <w:tab/>
            </w:r>
            <w:r w:rsidR="007C43FB">
              <w:rPr>
                <w:noProof/>
                <w:webHidden/>
              </w:rPr>
              <w:fldChar w:fldCharType="begin"/>
            </w:r>
            <w:r w:rsidR="007C43FB">
              <w:rPr>
                <w:noProof/>
                <w:webHidden/>
              </w:rPr>
              <w:instrText xml:space="preserve"> PAGEREF _Toc525572737 \h </w:instrText>
            </w:r>
            <w:r w:rsidR="007C43FB">
              <w:rPr>
                <w:noProof/>
                <w:webHidden/>
              </w:rPr>
            </w:r>
            <w:r w:rsidR="007C43FB">
              <w:rPr>
                <w:noProof/>
                <w:webHidden/>
              </w:rPr>
              <w:fldChar w:fldCharType="separate"/>
            </w:r>
            <w:r w:rsidR="007C43FB">
              <w:rPr>
                <w:noProof/>
                <w:webHidden/>
              </w:rPr>
              <w:t>10</w:t>
            </w:r>
            <w:r w:rsidR="007C43FB">
              <w:rPr>
                <w:noProof/>
                <w:webHidden/>
              </w:rPr>
              <w:fldChar w:fldCharType="end"/>
            </w:r>
          </w:hyperlink>
        </w:p>
        <w:p w:rsidR="00072966" w:rsidRPr="006E2612" w:rsidRDefault="0046491C" w:rsidP="006E2612">
          <w:pPr>
            <w:spacing w:line="360" w:lineRule="auto"/>
            <w:rPr>
              <w:rFonts w:ascii="Palatino Linotype" w:hAnsi="Palatino Linotype"/>
            </w:rPr>
          </w:pPr>
          <w:r w:rsidRPr="00072966">
            <w:rPr>
              <w:rFonts w:ascii="Palatino Linotype" w:hAnsi="Palatino Linotype"/>
              <w:b/>
              <w:bCs/>
              <w:lang w:val="es-ES"/>
            </w:rPr>
            <w:fldChar w:fldCharType="end"/>
          </w:r>
        </w:p>
      </w:sdtContent>
    </w:sdt>
    <w:p w:rsidR="00702BD9" w:rsidRPr="00702BD9" w:rsidRDefault="00702BD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5572735"/>
      <w:r w:rsidRPr="00072966">
        <w:rPr>
          <w:rFonts w:ascii="Palatino Linotype" w:hAnsi="Palatino Linotype"/>
          <w:b/>
          <w:color w:val="auto"/>
          <w:sz w:val="24"/>
          <w:szCs w:val="24"/>
        </w:rPr>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2D6857">
        <w:rPr>
          <w:rFonts w:ascii="Palatino Linotype" w:hAnsi="Palatino Linotype" w:cs="Arial"/>
          <w:sz w:val="24"/>
          <w:szCs w:val="24"/>
        </w:rPr>
        <w:t>Trigésima</w:t>
      </w:r>
      <w:r w:rsidR="00F747F8">
        <w:rPr>
          <w:rFonts w:ascii="Palatino Linotype" w:hAnsi="Palatino Linotype" w:cs="Arial"/>
          <w:sz w:val="24"/>
          <w:szCs w:val="24"/>
        </w:rPr>
        <w:t xml:space="preserve"> </w:t>
      </w:r>
      <w:r w:rsidR="002D6857">
        <w:rPr>
          <w:rFonts w:ascii="Palatino Linotype" w:hAnsi="Palatino Linotype" w:cs="Arial"/>
          <w:sz w:val="24"/>
          <w:szCs w:val="24"/>
        </w:rPr>
        <w:t>Cuarta</w:t>
      </w:r>
      <w:r w:rsidR="0076241F"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2D6857">
        <w:rPr>
          <w:rFonts w:ascii="Palatino Linotype" w:hAnsi="Palatino Linotype" w:cs="Arial"/>
          <w:sz w:val="24"/>
          <w:szCs w:val="24"/>
        </w:rPr>
        <w:t>diecinueve</w:t>
      </w:r>
      <w:r w:rsidRPr="00072966">
        <w:rPr>
          <w:rFonts w:ascii="Palatino Linotype" w:hAnsi="Palatino Linotype" w:cs="Arial"/>
          <w:sz w:val="24"/>
          <w:szCs w:val="24"/>
        </w:rPr>
        <w:t xml:space="preserve"> (</w:t>
      </w:r>
      <w:r w:rsidR="002D6857">
        <w:rPr>
          <w:rFonts w:ascii="Palatino Linotype" w:hAnsi="Palatino Linotype" w:cs="Arial"/>
          <w:sz w:val="24"/>
          <w:szCs w:val="24"/>
        </w:rPr>
        <w:t>19</w:t>
      </w:r>
      <w:r w:rsidR="00225026" w:rsidRPr="00072966">
        <w:rPr>
          <w:rFonts w:ascii="Palatino Linotype" w:hAnsi="Palatino Linotype" w:cs="Arial"/>
          <w:sz w:val="24"/>
          <w:szCs w:val="24"/>
        </w:rPr>
        <w:t xml:space="preserve">) de </w:t>
      </w:r>
      <w:r w:rsidR="002D6857">
        <w:rPr>
          <w:rFonts w:ascii="Palatino Linotype" w:hAnsi="Palatino Linotype" w:cs="Arial"/>
          <w:sz w:val="24"/>
          <w:szCs w:val="24"/>
        </w:rPr>
        <w:t>septiembre</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623180" w:rsidRPr="00623180">
        <w:rPr>
          <w:rFonts w:ascii="Palatino Linotype" w:hAnsi="Palatino Linotype" w:cs="Arial"/>
          <w:b/>
          <w:highlight w:val="black"/>
        </w:rPr>
        <w:t>---------------------------</w:t>
      </w:r>
      <w:r w:rsidRPr="00072966">
        <w:rPr>
          <w:rFonts w:ascii="Palatino Linotype" w:hAnsi="Palatino Linotype" w:cs="Arial"/>
          <w:sz w:val="24"/>
          <w:szCs w:val="24"/>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 xml:space="preserve">Ayuntamiento de </w:t>
      </w:r>
      <w:r w:rsidR="002D6857">
        <w:rPr>
          <w:rFonts w:ascii="Palatino Linotype" w:hAnsi="Palatino Linotype"/>
          <w:b/>
          <w:lang w:val="es-ES_tradnl"/>
        </w:rPr>
        <w:t>Toluca</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2D6857">
        <w:rPr>
          <w:rFonts w:ascii="Palatino Linotype" w:eastAsia="Times New Roman" w:hAnsi="Palatino Linotype" w:cs="Arial"/>
          <w:b/>
          <w:bCs/>
          <w:sz w:val="24"/>
          <w:szCs w:val="24"/>
          <w:lang w:eastAsia="es-ES"/>
        </w:rPr>
        <w:t>2429</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1C545F" w:rsidRDefault="00C7250F" w:rsidP="001C545F">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lastRenderedPageBreak/>
        <w:t xml:space="preserve">El sentido de la Resolución puntualmente determina </w:t>
      </w:r>
      <w:r w:rsidR="00016A9F">
        <w:rPr>
          <w:rFonts w:ascii="Palatino Linotype" w:hAnsi="Palatino Linotype" w:cs="Arial"/>
          <w:sz w:val="24"/>
          <w:szCs w:val="24"/>
        </w:rPr>
        <w:t>MODIFICAR la respuesta del Sujeto O</w:t>
      </w:r>
      <w:r w:rsidR="001C545F">
        <w:rPr>
          <w:rFonts w:ascii="Palatino Linotype" w:hAnsi="Palatino Linotype" w:cs="Arial"/>
          <w:sz w:val="24"/>
          <w:szCs w:val="24"/>
        </w:rPr>
        <w:t>bl</w:t>
      </w:r>
      <w:r w:rsidR="002D6857">
        <w:rPr>
          <w:rFonts w:ascii="Palatino Linotype" w:hAnsi="Palatino Linotype" w:cs="Arial"/>
          <w:sz w:val="24"/>
          <w:szCs w:val="24"/>
        </w:rPr>
        <w:t>igado y ordenar la entrega de la siguiente información:</w:t>
      </w:r>
    </w:p>
    <w:p w:rsidR="00702BD9" w:rsidRPr="00702BD9" w:rsidRDefault="00702BD9" w:rsidP="00702BD9">
      <w:pPr>
        <w:pStyle w:val="Prrafodelista"/>
        <w:rPr>
          <w:rFonts w:ascii="Palatino Linotype" w:hAnsi="Palatino Linotype" w:cs="Arial"/>
          <w:sz w:val="24"/>
          <w:szCs w:val="24"/>
        </w:rPr>
      </w:pP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El Acuerdo de información reservada debidamente motivado y fundado emitido</w:t>
      </w:r>
      <w:r>
        <w:rPr>
          <w:rFonts w:ascii="Palatino Linotype" w:hAnsi="Palatino Linotype" w:cs="Arial"/>
          <w:sz w:val="24"/>
          <w:szCs w:val="24"/>
        </w:rPr>
        <w:t xml:space="preserve"> </w:t>
      </w:r>
      <w:r w:rsidRPr="002D6857">
        <w:rPr>
          <w:rFonts w:ascii="Palatino Linotype" w:hAnsi="Palatino Linotype" w:cs="Arial"/>
          <w:sz w:val="24"/>
          <w:szCs w:val="24"/>
        </w:rPr>
        <w:t>por su Comité de Trans</w:t>
      </w:r>
      <w:r>
        <w:rPr>
          <w:rFonts w:ascii="Palatino Linotype" w:hAnsi="Palatino Linotype" w:cs="Arial"/>
          <w:sz w:val="24"/>
          <w:szCs w:val="24"/>
        </w:rPr>
        <w:t>parencia, respecto al armamento;</w:t>
      </w: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El expediente conformado con motivo del proceso de adquisición de las 100</w:t>
      </w:r>
      <w:r>
        <w:rPr>
          <w:rFonts w:ascii="Palatino Linotype" w:hAnsi="Palatino Linotype" w:cs="Arial"/>
          <w:sz w:val="24"/>
          <w:szCs w:val="24"/>
        </w:rPr>
        <w:t xml:space="preserve"> </w:t>
      </w:r>
      <w:r w:rsidRPr="002D6857">
        <w:rPr>
          <w:rFonts w:ascii="Palatino Linotype" w:hAnsi="Palatino Linotype" w:cs="Arial"/>
          <w:sz w:val="24"/>
          <w:szCs w:val="24"/>
        </w:rPr>
        <w:t>patrullas referidas por el particular</w:t>
      </w:r>
      <w:r>
        <w:rPr>
          <w:rFonts w:ascii="Palatino Linotype" w:hAnsi="Palatino Linotype" w:cs="Arial"/>
          <w:sz w:val="24"/>
          <w:szCs w:val="24"/>
        </w:rPr>
        <w:t xml:space="preserve"> en su solicitud de información;</w:t>
      </w: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Las facturas y pólizas de seguro de cada una de las patrullas y nombre del</w:t>
      </w:r>
      <w:r>
        <w:rPr>
          <w:rFonts w:ascii="Palatino Linotype" w:hAnsi="Palatino Linotype" w:cs="Arial"/>
          <w:sz w:val="24"/>
          <w:szCs w:val="24"/>
        </w:rPr>
        <w:t xml:space="preserve"> proveedor; y</w:t>
      </w:r>
    </w:p>
    <w:p w:rsidR="002D6857" w:rsidRPr="002D6857" w:rsidRDefault="002D6857" w:rsidP="00702BD9">
      <w:p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De la Dirección de Seguridad Ciudadana del Sujeto Obligado:</w:t>
      </w: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El inventario general del parque vehicular.</w:t>
      </w: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La Plantilla del personal adscrito.</w:t>
      </w:r>
    </w:p>
    <w:p w:rsidR="002D6857" w:rsidRDefault="002D6857" w:rsidP="00702BD9">
      <w:pPr>
        <w:pStyle w:val="Prrafodelista"/>
        <w:numPr>
          <w:ilvl w:val="0"/>
          <w:numId w:val="17"/>
        </w:numPr>
        <w:spacing w:line="360" w:lineRule="auto"/>
        <w:ind w:left="709" w:hanging="283"/>
        <w:jc w:val="both"/>
        <w:rPr>
          <w:rFonts w:ascii="Palatino Linotype" w:hAnsi="Palatino Linotype" w:cs="Arial"/>
          <w:sz w:val="24"/>
          <w:szCs w:val="24"/>
        </w:rPr>
      </w:pPr>
      <w:r w:rsidRPr="002D6857">
        <w:rPr>
          <w:rFonts w:ascii="Palatino Linotype" w:hAnsi="Palatino Linotype" w:cs="Arial"/>
          <w:sz w:val="24"/>
          <w:szCs w:val="24"/>
        </w:rPr>
        <w:t>Los Turnos de trabajo.</w:t>
      </w:r>
    </w:p>
    <w:p w:rsidR="002D6857" w:rsidRPr="002D6857" w:rsidRDefault="002D6857" w:rsidP="002D6857">
      <w:pPr>
        <w:pStyle w:val="Prrafodelista"/>
        <w:numPr>
          <w:ilvl w:val="0"/>
          <w:numId w:val="17"/>
        </w:numPr>
        <w:spacing w:line="360" w:lineRule="auto"/>
        <w:ind w:left="709" w:hanging="142"/>
        <w:jc w:val="both"/>
        <w:rPr>
          <w:rFonts w:ascii="Palatino Linotype" w:hAnsi="Palatino Linotype" w:cs="Arial"/>
          <w:sz w:val="24"/>
          <w:szCs w:val="24"/>
        </w:rPr>
      </w:pPr>
      <w:r w:rsidRPr="002D6857">
        <w:rPr>
          <w:rFonts w:ascii="Palatino Linotype" w:hAnsi="Palatino Linotype" w:cs="Arial"/>
          <w:sz w:val="24"/>
          <w:szCs w:val="24"/>
        </w:rPr>
        <w:t>Los Elementos policiales por turno.</w:t>
      </w:r>
    </w:p>
    <w:p w:rsidR="002D6857" w:rsidRDefault="002D6857" w:rsidP="002D6857">
      <w:pPr>
        <w:pStyle w:val="Prrafodelista"/>
        <w:spacing w:before="240" w:after="240" w:line="360" w:lineRule="auto"/>
        <w:ind w:left="360" w:right="49"/>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25572736"/>
      <w:r w:rsidRPr="00072966">
        <w:rPr>
          <w:rFonts w:ascii="Palatino Linotype" w:hAnsi="Palatino Linotype"/>
          <w:b/>
          <w:color w:val="auto"/>
          <w:sz w:val="24"/>
          <w:szCs w:val="24"/>
        </w:rPr>
        <w:t>De los requerimientos planteados en el recurso de revisión.</w:t>
      </w:r>
      <w:bookmarkEnd w:id="1"/>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0D1743" w:rsidRPr="002D6857" w:rsidRDefault="008E1DCC" w:rsidP="000D1743">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72966">
        <w:rPr>
          <w:rFonts w:ascii="Palatino Linotype" w:hAnsi="Palatino Linotype" w:cs="Arial"/>
          <w:sz w:val="24"/>
          <w:szCs w:val="24"/>
        </w:rPr>
        <w:t>El particular</w:t>
      </w:r>
      <w:r w:rsidR="000D1743">
        <w:rPr>
          <w:rFonts w:ascii="Palatino Linotype" w:hAnsi="Palatino Linotype" w:cs="Arial"/>
          <w:sz w:val="24"/>
          <w:szCs w:val="24"/>
        </w:rPr>
        <w:t xml:space="preserve"> solicitó al Sujeto Obligado la siguiente información:</w:t>
      </w:r>
    </w:p>
    <w:p w:rsidR="002D6857" w:rsidRDefault="002D6857" w:rsidP="002D6857">
      <w:pPr>
        <w:pStyle w:val="Prrafodelista"/>
        <w:spacing w:after="0" w:line="360" w:lineRule="auto"/>
        <w:ind w:left="360"/>
        <w:jc w:val="both"/>
        <w:rPr>
          <w:rFonts w:ascii="Palatino Linotype" w:hAnsi="Palatino Linotype" w:cs="Arial"/>
          <w:sz w:val="24"/>
          <w:szCs w:val="24"/>
        </w:rPr>
      </w:pPr>
    </w:p>
    <w:p w:rsidR="002D6857" w:rsidRDefault="005D4F74"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De acuerdo a una nota periodística, el C. Presidente Municipal de Toluca, entregó 100 patrullas el día 7 de mayo de 2018, por lo que se solicitó la siguiente información:</w:t>
      </w:r>
    </w:p>
    <w:p w:rsidR="00702BD9" w:rsidRPr="00702BD9" w:rsidRDefault="00702BD9"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1- expediente conformado con motivo del proceso de adquisición de las 100 patrullas, independientemente si se realizó la compra por licitación pública, invitación restringida o adjudicación directa.</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2- copia de las facturas de cada una de las patrullas, nombre del proveedor, póliza de seguro de cada una de las patrullas.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De la Dirección de Seguridad Ciudadana del municipio de Toluca: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3- A cuánto asciende el parque vehicular, desglosado entre los diferentes tipos de vehículos (motocicletas, patrullas, bicicletas, etc.), indicando cuantos se encuentran actualmente en uso.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4- Plantilla del personal adscrito.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5- Cuántos turnos de trabajo hay.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6- Cuántos elementos por turno hay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7- Nivel académico de cada uno de los elementos (policías).</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8- Cuántas armas largas y cuantas armas cortas tiene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9- Cuántos vehículos tiene.</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lastRenderedPageBreak/>
        <w:t xml:space="preserve">10- A cuántos elementos de seguridad pública se les han iniciado procedimientos de responsabilidad administrativa, resarcitoria o disciplinaria y cuáles son las sanciones que se les han impuesto.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11- Cuántos procedimientos de responsabilidad administrativa ha tenido conocimiento la Comisión de Honor y Justicia de Seguridad Pública del municipio de Toluca.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 xml:space="preserve">12- Cuántos elementos han sido sancionados y cuántos dados de baja por resoluciones de la Comisión de Honor y Justicia de Seguridad Pública del municipio de Toluca. </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13- Cuántas infracciones de tránsito se han aplicado durante los años 2016, 2017 y enero a abril de 2018.</w:t>
      </w:r>
    </w:p>
    <w:p w:rsidR="002D6857" w:rsidRPr="00702BD9" w:rsidRDefault="002D6857" w:rsidP="002D6857">
      <w:pPr>
        <w:pStyle w:val="Prrafodelista"/>
        <w:spacing w:after="0" w:line="360" w:lineRule="auto"/>
        <w:ind w:left="360"/>
        <w:jc w:val="both"/>
        <w:rPr>
          <w:rFonts w:ascii="Palatino Linotype" w:eastAsia="Times New Roman" w:hAnsi="Palatino Linotype" w:cs="Times New Roman"/>
          <w:sz w:val="24"/>
          <w:szCs w:val="24"/>
          <w:lang w:val="es-ES_tradnl" w:eastAsia="es-ES"/>
        </w:rPr>
      </w:pPr>
      <w:r w:rsidRPr="00702BD9">
        <w:rPr>
          <w:rFonts w:ascii="Palatino Linotype" w:eastAsia="Times New Roman" w:hAnsi="Palatino Linotype" w:cs="Times New Roman"/>
          <w:sz w:val="24"/>
          <w:szCs w:val="24"/>
          <w:lang w:val="es-ES_tradnl" w:eastAsia="es-ES"/>
        </w:rPr>
        <w:t>14- Cuántos elementos de tránsito tiene el municipio de Toluca.</w:t>
      </w:r>
    </w:p>
    <w:p w:rsidR="00444048" w:rsidRPr="00072966" w:rsidRDefault="000D1743" w:rsidP="000D1743">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072966">
        <w:rPr>
          <w:rFonts w:ascii="Palatino Linotype" w:eastAsia="Times New Roman" w:hAnsi="Palatino Linotype" w:cs="Times New Roman"/>
          <w:i/>
          <w:sz w:val="24"/>
          <w:szCs w:val="24"/>
          <w:lang w:val="es-ES_tradnl" w:eastAsia="es-ES"/>
        </w:rPr>
        <w:t xml:space="preserve"> </w:t>
      </w:r>
    </w:p>
    <w:p w:rsidR="005D4F74" w:rsidRPr="005D4F74" w:rsidRDefault="005D4F74" w:rsidP="00525DF2">
      <w:pPr>
        <w:pStyle w:val="Prrafodelista"/>
        <w:numPr>
          <w:ilvl w:val="0"/>
          <w:numId w:val="1"/>
        </w:numPr>
        <w:spacing w:before="240" w:after="240" w:line="360" w:lineRule="auto"/>
        <w:jc w:val="both"/>
        <w:rPr>
          <w:rFonts w:ascii="Palatino Linotype" w:eastAsia="Times New Roman" w:hAnsi="Palatino Linotype" w:cs="Times New Roman"/>
          <w:sz w:val="24"/>
          <w:szCs w:val="24"/>
          <w:lang w:val="es-ES_tradnl" w:eastAsia="es-ES"/>
        </w:rPr>
      </w:pPr>
      <w:r w:rsidRPr="005D4F74">
        <w:rPr>
          <w:rFonts w:ascii="Palatino Linotype" w:eastAsia="Times New Roman" w:hAnsi="Palatino Linotype" w:cs="Times New Roman"/>
          <w:sz w:val="24"/>
          <w:szCs w:val="24"/>
          <w:lang w:val="es-ES_tradnl" w:eastAsia="es-ES"/>
        </w:rPr>
        <w:t>El Sujeto Obligado</w:t>
      </w:r>
      <w:r w:rsidR="007C43FB">
        <w:rPr>
          <w:rFonts w:ascii="Palatino Linotype" w:eastAsia="Times New Roman" w:hAnsi="Palatino Linotype" w:cs="Times New Roman"/>
          <w:sz w:val="24"/>
          <w:szCs w:val="24"/>
          <w:lang w:val="es-ES_tradnl" w:eastAsia="es-ES"/>
        </w:rPr>
        <w:t>,</w:t>
      </w:r>
      <w:r w:rsidRPr="005D4F74">
        <w:rPr>
          <w:rFonts w:ascii="Palatino Linotype" w:eastAsia="Times New Roman" w:hAnsi="Palatino Linotype" w:cs="Times New Roman"/>
          <w:sz w:val="24"/>
          <w:szCs w:val="24"/>
          <w:lang w:val="es-ES_tradnl" w:eastAsia="es-ES"/>
        </w:rPr>
        <w:t xml:space="preserve"> a través de su </w:t>
      </w:r>
      <w:r w:rsidR="007C43FB">
        <w:rPr>
          <w:rFonts w:ascii="Palatino Linotype" w:eastAsia="Times New Roman" w:hAnsi="Palatino Linotype" w:cs="Times New Roman"/>
          <w:sz w:val="24"/>
          <w:szCs w:val="24"/>
          <w:lang w:val="es-ES_tradnl" w:eastAsia="es-ES"/>
        </w:rPr>
        <w:t>respuesta,</w:t>
      </w:r>
      <w:r w:rsidRPr="005D4F74">
        <w:rPr>
          <w:rFonts w:ascii="Palatino Linotype" w:eastAsia="Times New Roman" w:hAnsi="Palatino Linotype" w:cs="Times New Roman"/>
          <w:sz w:val="24"/>
          <w:szCs w:val="24"/>
          <w:lang w:val="es-ES_tradnl" w:eastAsia="es-ES"/>
        </w:rPr>
        <w:t xml:space="preserve"> manifestó lo siguiente:</w:t>
      </w:r>
    </w:p>
    <w:p w:rsidR="005D4F74" w:rsidRPr="007C43FB" w:rsidRDefault="005D4F74"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El Subdirector de Seguridad Pública, mencionó el acuerdo CT/SE/09/04/18 mediante el cual se clasifica la información como reservada por cinco años, sin embargo, no adjuntó el acuerdo</w:t>
      </w:r>
      <w:r w:rsidR="007C43FB">
        <w:rPr>
          <w:rFonts w:ascii="Palatino Linotype" w:eastAsia="Times New Roman" w:hAnsi="Palatino Linotype" w:cs="Times New Roman"/>
          <w:sz w:val="24"/>
          <w:szCs w:val="24"/>
          <w:lang w:val="es-ES_tradnl" w:eastAsia="es-ES"/>
        </w:rPr>
        <w:t>.</w:t>
      </w:r>
    </w:p>
    <w:p w:rsidR="005D4F74" w:rsidRPr="007C43FB" w:rsidRDefault="005D4F74"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 </w:t>
      </w:r>
      <w:r w:rsidR="00643C7E" w:rsidRPr="007C43FB">
        <w:rPr>
          <w:rFonts w:ascii="Palatino Linotype" w:eastAsia="Times New Roman" w:hAnsi="Palatino Linotype" w:cs="Times New Roman"/>
          <w:sz w:val="24"/>
          <w:szCs w:val="24"/>
          <w:lang w:val="es-ES_tradnl" w:eastAsia="es-ES"/>
        </w:rPr>
        <w:t>E</w:t>
      </w:r>
      <w:r w:rsidRPr="007C43FB">
        <w:rPr>
          <w:rFonts w:ascii="Palatino Linotype" w:eastAsia="Times New Roman" w:hAnsi="Palatino Linotype" w:cs="Times New Roman"/>
          <w:sz w:val="24"/>
          <w:szCs w:val="24"/>
          <w:lang w:val="es-ES_tradnl" w:eastAsia="es-ES"/>
        </w:rPr>
        <w:t>l Encargado de Enlace Administrativo, respondió: “N° de Reserva 230 CT/SE/09/01/18”. No adjunto el acuerdo de reserva.</w:t>
      </w:r>
    </w:p>
    <w:p w:rsidR="005D4F74" w:rsidRPr="007C43FB" w:rsidRDefault="007C43FB"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E</w:t>
      </w:r>
      <w:r w:rsidR="005D4F74" w:rsidRPr="007C43FB">
        <w:rPr>
          <w:rFonts w:ascii="Palatino Linotype" w:eastAsia="Times New Roman" w:hAnsi="Palatino Linotype" w:cs="Times New Roman"/>
          <w:sz w:val="24"/>
          <w:szCs w:val="24"/>
          <w:lang w:val="es-ES_tradnl" w:eastAsia="es-ES"/>
        </w:rPr>
        <w:t>l Encargado de Enlace Administrativo, respondió:</w:t>
      </w:r>
    </w:p>
    <w:p w:rsidR="005D4F74" w:rsidRPr="007C43FB"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lastRenderedPageBreak/>
        <w:t>PRIM</w:t>
      </w:r>
      <w:bookmarkStart w:id="2" w:name="_GoBack"/>
      <w:bookmarkEnd w:id="2"/>
      <w:r w:rsidRPr="007C43FB">
        <w:rPr>
          <w:rFonts w:ascii="Palatino Linotype" w:eastAsia="Times New Roman" w:hAnsi="Palatino Linotype" w:cs="Times New Roman"/>
          <w:sz w:val="24"/>
          <w:szCs w:val="24"/>
          <w:lang w:val="es-ES_tradnl" w:eastAsia="es-ES"/>
        </w:rPr>
        <w:t>ARIA                  0%</w:t>
      </w:r>
    </w:p>
    <w:p w:rsidR="005D4F74" w:rsidRPr="007C43FB"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SECUNDARIA        5.6%</w:t>
      </w:r>
    </w:p>
    <w:p w:rsidR="005D4F74" w:rsidRPr="007C43FB"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BACHILLERATO  87.9%</w:t>
      </w:r>
    </w:p>
    <w:p w:rsidR="005D4F74" w:rsidRPr="007C43FB"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LICENCIATURA     6.3%</w:t>
      </w:r>
    </w:p>
    <w:p w:rsidR="005D4F74" w:rsidRPr="007C43FB"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MAESTRÍA              0.2% </w:t>
      </w:r>
    </w:p>
    <w:p w:rsidR="005D4F74" w:rsidRDefault="005D4F74"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TOTAL                    100%  </w:t>
      </w:r>
    </w:p>
    <w:p w:rsidR="00702BD9" w:rsidRPr="007C43FB" w:rsidRDefault="00702BD9" w:rsidP="007C43FB">
      <w:pPr>
        <w:spacing w:before="240" w:after="240" w:line="240" w:lineRule="auto"/>
        <w:ind w:left="851" w:right="49"/>
        <w:jc w:val="both"/>
        <w:rPr>
          <w:rFonts w:ascii="Palatino Linotype" w:eastAsia="Times New Roman" w:hAnsi="Palatino Linotype" w:cs="Times New Roman"/>
          <w:sz w:val="24"/>
          <w:szCs w:val="24"/>
          <w:lang w:val="es-ES_tradnl" w:eastAsia="es-ES"/>
        </w:rPr>
      </w:pPr>
    </w:p>
    <w:p w:rsidR="005D4F74" w:rsidRPr="007C43FB" w:rsidRDefault="005D4F74"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 </w:t>
      </w:r>
      <w:r w:rsidR="00643C7E" w:rsidRPr="007C43FB">
        <w:rPr>
          <w:rFonts w:ascii="Palatino Linotype" w:eastAsia="Times New Roman" w:hAnsi="Palatino Linotype" w:cs="Times New Roman"/>
          <w:sz w:val="24"/>
          <w:szCs w:val="24"/>
          <w:lang w:val="es-ES_tradnl" w:eastAsia="es-ES"/>
        </w:rPr>
        <w:t>L</w:t>
      </w:r>
      <w:r w:rsidRPr="007C43FB">
        <w:rPr>
          <w:rFonts w:ascii="Palatino Linotype" w:eastAsia="Times New Roman" w:hAnsi="Palatino Linotype" w:cs="Times New Roman"/>
          <w:sz w:val="24"/>
          <w:szCs w:val="24"/>
          <w:lang w:val="es-ES_tradnl" w:eastAsia="es-ES"/>
        </w:rPr>
        <w:t>a Autoridad Investigadora de la Contraloría no encontró documentación relacionada con el requerimiento; que la autoridad de investigar subsanar y resolver los procedimientos de responsabilidad administrativa en contra de los integrantes de la  Secretaría de Seguridad y de los municipios es la “Inspección General de las Instituciones Públicas del Estado de México”, en términos de la Ley que Crea el Organismo Público descentralizado citado, transcribiendo el artículo 4, fracción II.</w:t>
      </w:r>
    </w:p>
    <w:p w:rsidR="005D4F74" w:rsidRPr="007C43FB" w:rsidRDefault="005D4F74"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 </w:t>
      </w:r>
      <w:r w:rsidR="00643C7E" w:rsidRPr="007C43FB">
        <w:rPr>
          <w:rFonts w:ascii="Palatino Linotype" w:eastAsia="Times New Roman" w:hAnsi="Palatino Linotype" w:cs="Times New Roman"/>
          <w:sz w:val="24"/>
          <w:szCs w:val="24"/>
          <w:lang w:val="es-ES_tradnl" w:eastAsia="es-ES"/>
        </w:rPr>
        <w:t>E</w:t>
      </w:r>
      <w:r w:rsidRPr="007C43FB">
        <w:rPr>
          <w:rFonts w:ascii="Palatino Linotype" w:eastAsia="Times New Roman" w:hAnsi="Palatino Linotype" w:cs="Times New Roman"/>
          <w:sz w:val="24"/>
          <w:szCs w:val="24"/>
          <w:lang w:val="es-ES_tradnl" w:eastAsia="es-ES"/>
        </w:rPr>
        <w:t>l Encargado del Despacho de la Su</w:t>
      </w:r>
      <w:r w:rsidR="00643C7E" w:rsidRPr="007C43FB">
        <w:rPr>
          <w:rFonts w:ascii="Palatino Linotype" w:eastAsia="Times New Roman" w:hAnsi="Palatino Linotype" w:cs="Times New Roman"/>
          <w:sz w:val="24"/>
          <w:szCs w:val="24"/>
          <w:lang w:val="es-ES_tradnl" w:eastAsia="es-ES"/>
        </w:rPr>
        <w:t xml:space="preserve">bdirección de Asuntos Internos </w:t>
      </w:r>
      <w:r w:rsidRPr="007C43FB">
        <w:rPr>
          <w:rFonts w:ascii="Palatino Linotype" w:eastAsia="Times New Roman" w:hAnsi="Palatino Linotype" w:cs="Times New Roman"/>
          <w:sz w:val="24"/>
          <w:szCs w:val="24"/>
          <w:lang w:val="es-ES_tradnl" w:eastAsia="es-ES"/>
        </w:rPr>
        <w:t xml:space="preserve">informó que la Comisión de servicio Profesional de carrera Policial Honor y Justicia de la Dirección de Seguridad Ciudadana es el órgano colegiado que tiene como atribución llevar a cabo  los procedimientos en los que se resuelva la suspensión temporal, separación,  remoción, baja, cese o cualquier otra forma de terminación del servicio de los elementos policiales de conformidad con lo </w:t>
      </w:r>
      <w:r w:rsidRPr="007C43FB">
        <w:rPr>
          <w:rFonts w:ascii="Palatino Linotype" w:eastAsia="Times New Roman" w:hAnsi="Palatino Linotype" w:cs="Times New Roman"/>
          <w:sz w:val="24"/>
          <w:szCs w:val="24"/>
          <w:lang w:val="es-ES_tradnl" w:eastAsia="es-ES"/>
        </w:rPr>
        <w:lastRenderedPageBreak/>
        <w:t xml:space="preserve">establecido  el artículo 123, apartado B, fracción XIII de la Constitución Federal. </w:t>
      </w:r>
    </w:p>
    <w:p w:rsidR="005D4F74" w:rsidRPr="007C43FB" w:rsidRDefault="00643C7E"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w:t>
      </w:r>
      <w:r w:rsidR="007C43FB" w:rsidRPr="007C43FB">
        <w:rPr>
          <w:rFonts w:ascii="Palatino Linotype" w:eastAsia="Times New Roman" w:hAnsi="Palatino Linotype" w:cs="Times New Roman"/>
          <w:sz w:val="24"/>
          <w:szCs w:val="24"/>
          <w:lang w:val="es-ES_tradnl" w:eastAsia="es-ES"/>
        </w:rPr>
        <w:t xml:space="preserve"> El Encargado del Despacho de la Subdirección de Asuntos Internos </w:t>
      </w:r>
      <w:r w:rsidR="007C43FB">
        <w:rPr>
          <w:rFonts w:ascii="Palatino Linotype" w:eastAsia="Times New Roman" w:hAnsi="Palatino Linotype" w:cs="Times New Roman"/>
          <w:sz w:val="24"/>
          <w:szCs w:val="24"/>
          <w:lang w:val="es-ES_tradnl" w:eastAsia="es-ES"/>
        </w:rPr>
        <w:t>contestó</w:t>
      </w:r>
      <w:r w:rsidR="005D4F74" w:rsidRPr="007C43FB">
        <w:rPr>
          <w:rFonts w:ascii="Palatino Linotype" w:eastAsia="Times New Roman" w:hAnsi="Palatino Linotype" w:cs="Times New Roman"/>
          <w:sz w:val="24"/>
          <w:szCs w:val="24"/>
          <w:lang w:val="es-ES_tradnl" w:eastAsia="es-ES"/>
        </w:rPr>
        <w:t xml:space="preserve"> que a partir del primero de enero del año dos mil dieciséis a la fecha, se tienen 213 procedimientos administrativos disciplinarios; con sanciones que contemplan en el artículo 44 de la Ley General del Sistema Nacional de Seguridad Pública, que establecen la Amonestación; Suspensión, y Remoción.</w:t>
      </w:r>
    </w:p>
    <w:p w:rsidR="005D4F74" w:rsidRPr="007C43FB" w:rsidRDefault="00643C7E"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E</w:t>
      </w:r>
      <w:r w:rsidR="005D4F74" w:rsidRPr="007C43FB">
        <w:rPr>
          <w:rFonts w:ascii="Palatino Linotype" w:eastAsia="Times New Roman" w:hAnsi="Palatino Linotype" w:cs="Times New Roman"/>
          <w:sz w:val="24"/>
          <w:szCs w:val="24"/>
          <w:lang w:val="es-ES_tradnl" w:eastAsia="es-ES"/>
        </w:rPr>
        <w:t>l Encargado del Despacho de la S</w:t>
      </w:r>
      <w:r w:rsidRPr="007C43FB">
        <w:rPr>
          <w:rFonts w:ascii="Palatino Linotype" w:eastAsia="Times New Roman" w:hAnsi="Palatino Linotype" w:cs="Times New Roman"/>
          <w:sz w:val="24"/>
          <w:szCs w:val="24"/>
          <w:lang w:val="es-ES_tradnl" w:eastAsia="es-ES"/>
        </w:rPr>
        <w:t xml:space="preserve">ubdirección de Asuntos Internos refirió que </w:t>
      </w:r>
      <w:r w:rsidR="005D4F74" w:rsidRPr="007C43FB">
        <w:rPr>
          <w:rFonts w:ascii="Palatino Linotype" w:eastAsia="Times New Roman" w:hAnsi="Palatino Linotype" w:cs="Times New Roman"/>
          <w:sz w:val="24"/>
          <w:szCs w:val="24"/>
          <w:lang w:val="es-ES_tradnl" w:eastAsia="es-ES"/>
        </w:rPr>
        <w:t>a partir del primero de enero del año dos mil dieciséis a la fecha, se tienen 213 procedimientos.</w:t>
      </w:r>
    </w:p>
    <w:p w:rsidR="005D4F74" w:rsidRPr="007C43FB" w:rsidRDefault="00643C7E" w:rsidP="007C43FB">
      <w:pPr>
        <w:spacing w:before="240" w:after="240" w:line="360" w:lineRule="auto"/>
        <w:ind w:left="567"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E</w:t>
      </w:r>
      <w:r w:rsidR="005D4F74" w:rsidRPr="007C43FB">
        <w:rPr>
          <w:rFonts w:ascii="Palatino Linotype" w:eastAsia="Times New Roman" w:hAnsi="Palatino Linotype" w:cs="Times New Roman"/>
          <w:sz w:val="24"/>
          <w:szCs w:val="24"/>
          <w:lang w:val="es-ES_tradnl" w:eastAsia="es-ES"/>
        </w:rPr>
        <w:t>l Encargado del Despacho de la S</w:t>
      </w:r>
      <w:r w:rsidRPr="007C43FB">
        <w:rPr>
          <w:rFonts w:ascii="Palatino Linotype" w:eastAsia="Times New Roman" w:hAnsi="Palatino Linotype" w:cs="Times New Roman"/>
          <w:sz w:val="24"/>
          <w:szCs w:val="24"/>
          <w:lang w:val="es-ES_tradnl" w:eastAsia="es-ES"/>
        </w:rPr>
        <w:t xml:space="preserve">ubdirección de Asuntos Internos manifestó que </w:t>
      </w:r>
      <w:r w:rsidR="005D4F74" w:rsidRPr="007C43FB">
        <w:rPr>
          <w:rFonts w:ascii="Palatino Linotype" w:eastAsia="Times New Roman" w:hAnsi="Palatino Linotype" w:cs="Times New Roman"/>
          <w:sz w:val="24"/>
          <w:szCs w:val="24"/>
          <w:lang w:val="es-ES_tradnl" w:eastAsia="es-ES"/>
        </w:rPr>
        <w:t xml:space="preserve">a partir del primero de enero del año dos mil dieciséis a la </w:t>
      </w:r>
      <w:r w:rsidRPr="007C43FB">
        <w:rPr>
          <w:rFonts w:ascii="Palatino Linotype" w:eastAsia="Times New Roman" w:hAnsi="Palatino Linotype" w:cs="Times New Roman"/>
          <w:sz w:val="24"/>
          <w:szCs w:val="24"/>
          <w:lang w:val="es-ES_tradnl" w:eastAsia="es-ES"/>
        </w:rPr>
        <w:t xml:space="preserve">fecha, la Comisión ha ejecutado: </w:t>
      </w:r>
    </w:p>
    <w:p w:rsidR="005D4F74" w:rsidRPr="007C43FB" w:rsidRDefault="005D4F74" w:rsidP="007C43FB">
      <w:pPr>
        <w:pStyle w:val="Prrafodelista"/>
        <w:numPr>
          <w:ilvl w:val="0"/>
          <w:numId w:val="18"/>
        </w:numPr>
        <w:spacing w:before="240" w:after="240" w:line="240" w:lineRule="auto"/>
        <w:ind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12 Remociones, </w:t>
      </w:r>
    </w:p>
    <w:p w:rsidR="005D4F74" w:rsidRPr="007C43FB" w:rsidRDefault="005D4F74" w:rsidP="007C43FB">
      <w:pPr>
        <w:pStyle w:val="Prrafodelista"/>
        <w:numPr>
          <w:ilvl w:val="0"/>
          <w:numId w:val="18"/>
        </w:numPr>
        <w:spacing w:before="240" w:after="240" w:line="240" w:lineRule="auto"/>
        <w:ind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 xml:space="preserve">54 Amonestaciones, </w:t>
      </w:r>
    </w:p>
    <w:p w:rsidR="005D4F74" w:rsidRPr="007C43FB" w:rsidRDefault="00643C7E" w:rsidP="007C43FB">
      <w:pPr>
        <w:pStyle w:val="Prrafodelista"/>
        <w:numPr>
          <w:ilvl w:val="0"/>
          <w:numId w:val="18"/>
        </w:numPr>
        <w:spacing w:before="240" w:after="240" w:line="240" w:lineRule="auto"/>
        <w:ind w:right="49"/>
        <w:jc w:val="both"/>
        <w:rPr>
          <w:rFonts w:ascii="Palatino Linotype" w:eastAsia="Times New Roman" w:hAnsi="Palatino Linotype" w:cs="Times New Roman"/>
          <w:sz w:val="24"/>
          <w:szCs w:val="24"/>
          <w:lang w:val="es-ES_tradnl" w:eastAsia="es-ES"/>
        </w:rPr>
      </w:pPr>
      <w:r w:rsidRPr="007C43FB">
        <w:rPr>
          <w:rFonts w:ascii="Palatino Linotype" w:eastAsia="Times New Roman" w:hAnsi="Palatino Linotype" w:cs="Times New Roman"/>
          <w:sz w:val="24"/>
          <w:szCs w:val="24"/>
          <w:lang w:val="es-ES_tradnl" w:eastAsia="es-ES"/>
        </w:rPr>
        <w:t>32 Suspensiones.</w:t>
      </w:r>
    </w:p>
    <w:p w:rsidR="005D4F74" w:rsidRPr="005D4F74" w:rsidRDefault="005D4F74" w:rsidP="00643C7E">
      <w:pPr>
        <w:pStyle w:val="Prrafodelista"/>
        <w:spacing w:before="240" w:after="240" w:line="360" w:lineRule="auto"/>
        <w:ind w:left="360"/>
        <w:jc w:val="both"/>
        <w:rPr>
          <w:rFonts w:ascii="Palatino Linotype" w:eastAsia="Times New Roman" w:hAnsi="Palatino Linotype" w:cs="Times New Roman"/>
          <w:i/>
          <w:sz w:val="24"/>
          <w:szCs w:val="24"/>
          <w:lang w:val="es-ES_tradnl" w:eastAsia="es-ES"/>
        </w:rPr>
      </w:pPr>
    </w:p>
    <w:p w:rsidR="00643C7E" w:rsidRPr="00643C7E" w:rsidRDefault="001C545F" w:rsidP="00643C7E">
      <w:pPr>
        <w:pStyle w:val="Prrafodelista"/>
        <w:numPr>
          <w:ilvl w:val="0"/>
          <w:numId w:val="1"/>
        </w:numPr>
        <w:spacing w:before="240" w:after="240" w:line="360" w:lineRule="auto"/>
        <w:jc w:val="both"/>
        <w:rPr>
          <w:rFonts w:ascii="Palatino Linotype" w:hAnsi="Palatino Linotype" w:cs="Arial"/>
          <w:sz w:val="24"/>
        </w:rPr>
      </w:pPr>
      <w:r w:rsidRPr="00B62245">
        <w:rPr>
          <w:rFonts w:ascii="Palatino Linotype" w:hAnsi="Palatino Linotype"/>
          <w:sz w:val="24"/>
          <w:lang w:eastAsia="es-MX"/>
        </w:rPr>
        <w:t xml:space="preserve">Por su parte, inconforme con la respuesta, la </w:t>
      </w:r>
      <w:r w:rsidRPr="00B62245">
        <w:rPr>
          <w:rFonts w:ascii="Palatino Linotype" w:hAnsi="Palatino Linotype"/>
          <w:b/>
          <w:sz w:val="24"/>
          <w:lang w:eastAsia="es-MX"/>
        </w:rPr>
        <w:t>RECURRENTE</w:t>
      </w:r>
      <w:r w:rsidRPr="00B62245">
        <w:rPr>
          <w:rFonts w:ascii="Palatino Linotype" w:hAnsi="Palatino Linotype"/>
          <w:sz w:val="24"/>
          <w:lang w:eastAsia="es-MX"/>
        </w:rPr>
        <w:t xml:space="preserve"> procedió a través del recurso de revisión materia de la presente resolución</w:t>
      </w:r>
      <w:r w:rsidR="00643C7E">
        <w:rPr>
          <w:rFonts w:ascii="Palatino Linotype" w:hAnsi="Palatino Linotype"/>
          <w:sz w:val="24"/>
          <w:lang w:eastAsia="es-MX"/>
        </w:rPr>
        <w:t xml:space="preserve"> y señaló </w:t>
      </w:r>
      <w:r w:rsidRPr="00B62245">
        <w:rPr>
          <w:rFonts w:ascii="Palatino Linotype" w:hAnsi="Palatino Linotype"/>
          <w:sz w:val="24"/>
          <w:lang w:eastAsia="es-MX"/>
        </w:rPr>
        <w:t xml:space="preserve"> </w:t>
      </w:r>
      <w:r w:rsidR="00643C7E" w:rsidRPr="00643C7E">
        <w:rPr>
          <w:rFonts w:ascii="Palatino Linotype" w:hAnsi="Palatino Linotype"/>
          <w:b/>
          <w:lang w:eastAsia="es-MX"/>
        </w:rPr>
        <w:t>Primero,</w:t>
      </w:r>
      <w:r w:rsidR="00643C7E" w:rsidRPr="00643C7E">
        <w:rPr>
          <w:rFonts w:ascii="Palatino Linotype" w:hAnsi="Palatino Linotype"/>
          <w:lang w:eastAsia="es-MX"/>
        </w:rPr>
        <w:t xml:space="preserve"> que se omitió entregar el expediente conformado con motivo de proceso de adquisición de las cien patrullas referidas en la nota periodística así como las facturas de cada una, nombre del proveedor y póliza de seguro de cada una; que se omitió dar respuesta a los </w:t>
      </w:r>
      <w:r w:rsidR="00643C7E" w:rsidRPr="00643C7E">
        <w:rPr>
          <w:rFonts w:ascii="Palatino Linotype" w:hAnsi="Palatino Linotype"/>
          <w:lang w:eastAsia="es-MX"/>
        </w:rPr>
        <w:lastRenderedPageBreak/>
        <w:t xml:space="preserve">requerimientos en donde solicitó cuántos turnos de trabajo, cuántos elementos por turno y cuántos vehículos hay en la Dirección de Seguridad Ciudadana del municipio de Toluca; cuántas infracciones de tránsito se aplicaron en los años 2016, 2017  y de enero a abril de 2018; cuántos elementos de tránsito tiene el municipio de Toluca; asimismo. </w:t>
      </w:r>
      <w:r w:rsidR="00643C7E" w:rsidRPr="00643C7E">
        <w:rPr>
          <w:rFonts w:ascii="Palatino Linotype" w:hAnsi="Palatino Linotype"/>
          <w:b/>
          <w:lang w:eastAsia="es-MX"/>
        </w:rPr>
        <w:t>Segundo,</w:t>
      </w:r>
      <w:r w:rsidR="00643C7E" w:rsidRPr="00643C7E">
        <w:rPr>
          <w:rFonts w:ascii="Palatino Linotype" w:hAnsi="Palatino Linotype"/>
          <w:lang w:eastAsia="es-MX"/>
        </w:rPr>
        <w:t xml:space="preserve"> le causas agravio la clasificación como reservada por cinco años la información relativa a “Plantilla de Personal”, “Armamento” y “Parque vehicular”, documento de reserva que no le fue proporcionado y </w:t>
      </w:r>
      <w:r w:rsidR="00643C7E" w:rsidRPr="00643C7E">
        <w:rPr>
          <w:rFonts w:ascii="Palatino Linotype" w:hAnsi="Palatino Linotype"/>
          <w:b/>
          <w:lang w:eastAsia="es-MX"/>
        </w:rPr>
        <w:t xml:space="preserve">Tercero, </w:t>
      </w:r>
      <w:r w:rsidR="00643C7E" w:rsidRPr="00643C7E">
        <w:rPr>
          <w:rFonts w:ascii="Palatino Linotype" w:hAnsi="Palatino Linotype"/>
          <w:lang w:eastAsia="es-MX"/>
        </w:rPr>
        <w:t xml:space="preserve">le genera agravio que el Sujeto Obligado clasificó como reservada toda la información relativa a su solicitud; que el Sujeto Obligado no acreditó fehacientemente la prueba de daño; que realizó una restricción discrecional sin fundamento legal ni motivación jurídica.  </w:t>
      </w:r>
    </w:p>
    <w:p w:rsidR="00643C7E" w:rsidRPr="00B62245" w:rsidRDefault="00643C7E" w:rsidP="00643C7E">
      <w:pPr>
        <w:pStyle w:val="Prrafodelista"/>
        <w:spacing w:before="240" w:after="240" w:line="360" w:lineRule="auto"/>
        <w:ind w:left="360"/>
        <w:jc w:val="both"/>
        <w:rPr>
          <w:rFonts w:ascii="Palatino Linotype" w:hAnsi="Palatino Linotype" w:cs="Arial"/>
          <w:sz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Si bien es de destacar, </w:t>
      </w:r>
      <w:r w:rsidR="00AE4797" w:rsidRPr="00072966">
        <w:rPr>
          <w:rFonts w:ascii="Palatino Linotype" w:hAnsi="Palatino Linotype" w:cs="Arial"/>
          <w:sz w:val="24"/>
          <w:szCs w:val="24"/>
        </w:rPr>
        <w:t>que el Sujeto Obligado atiende la solicitud</w:t>
      </w:r>
      <w:r w:rsidR="00643C7E">
        <w:rPr>
          <w:rFonts w:ascii="Palatino Linotype" w:hAnsi="Palatino Linotype" w:cs="Arial"/>
          <w:sz w:val="24"/>
          <w:szCs w:val="24"/>
        </w:rPr>
        <w:t xml:space="preserve">, también lo es que no dio cabal cumplimiento al derecho de acceso a la información dejando diversos requerimientos sin responder. mientras que por su parte el recurrente no se inconformó sobre la totalidad de la respuesta, </w:t>
      </w:r>
      <w:r w:rsidR="00FC5012">
        <w:rPr>
          <w:rFonts w:ascii="Palatino Linotype" w:hAnsi="Palatino Linotype" w:cs="Arial"/>
          <w:sz w:val="24"/>
          <w:szCs w:val="24"/>
        </w:rPr>
        <w:t xml:space="preserve">sin embargo, </w:t>
      </w:r>
      <w:r w:rsidRPr="00072966">
        <w:rPr>
          <w:rFonts w:ascii="Palatino Linotype" w:hAnsi="Palatino Linotype" w:cs="Arial"/>
          <w:sz w:val="24"/>
          <w:szCs w:val="24"/>
        </w:rPr>
        <w:t xml:space="preserve">en el estudio y desarrollo de dicha resolución fueron invocados los llamados </w:t>
      </w:r>
      <w:r w:rsidR="006D268B">
        <w:rPr>
          <w:rFonts w:ascii="Palatino Linotype" w:hAnsi="Palatino Linotype" w:cs="Arial"/>
          <w:sz w:val="24"/>
          <w:szCs w:val="24"/>
        </w:rPr>
        <w:t>“</w:t>
      </w:r>
      <w:r w:rsidRPr="00072966">
        <w:rPr>
          <w:rFonts w:ascii="Palatino Linotype" w:hAnsi="Palatino Linotype" w:cs="Arial"/>
          <w:sz w:val="24"/>
          <w:szCs w:val="24"/>
        </w:rPr>
        <w:t>actos consentidos</w:t>
      </w:r>
      <w:r w:rsidR="006D268B">
        <w:rPr>
          <w:rFonts w:ascii="Palatino Linotype" w:hAnsi="Palatino Linotype" w:cs="Arial"/>
          <w:sz w:val="24"/>
          <w:szCs w:val="24"/>
        </w:rPr>
        <w:t>”</w:t>
      </w:r>
      <w:r w:rsidRPr="00072966">
        <w:rPr>
          <w:rFonts w:ascii="Palatino Linotype" w:hAnsi="Palatino Linotype" w:cs="Arial"/>
          <w:sz w:val="24"/>
          <w:szCs w:val="24"/>
        </w:rPr>
        <w:t>, tal y como se observa en las siguientes líneas de la resolución en comento:</w:t>
      </w:r>
    </w:p>
    <w:p w:rsidR="00FC5012" w:rsidRPr="00FC5012" w:rsidRDefault="0069498B" w:rsidP="00FC5012">
      <w:pPr>
        <w:spacing w:before="100" w:beforeAutospacing="1" w:after="100" w:afterAutospacing="1" w:line="360" w:lineRule="auto"/>
        <w:ind w:left="567" w:right="616"/>
        <w:jc w:val="both"/>
        <w:rPr>
          <w:rFonts w:ascii="Palatino Linotype" w:hAnsi="Palatino Linotype" w:cs="Arial"/>
          <w:i/>
          <w:szCs w:val="28"/>
        </w:rPr>
      </w:pPr>
      <w:r w:rsidRPr="001574EC">
        <w:rPr>
          <w:rFonts w:ascii="Palatino Linotype" w:hAnsi="Palatino Linotype" w:cs="Arial"/>
          <w:i/>
        </w:rPr>
        <w:t>“</w:t>
      </w:r>
      <w:r w:rsidR="00FC5012" w:rsidRPr="00FC5012">
        <w:rPr>
          <w:rFonts w:ascii="Palatino Linotype" w:hAnsi="Palatino Linotype" w:cs="Arial"/>
          <w:i/>
          <w:szCs w:val="28"/>
        </w:rPr>
        <w:t xml:space="preserve">Lo anterior es así, debido a que cuando el RECURRENTE impugna la respuesta del SUJETO OBLIGADO y aquel no expresa Razón o Motivo de Inconformidad en contra de todos los rubros solicitados, dichos rubros deben declararse atendidos, pues se entiende que el RECURRENTE ésta conforme con la información entregada al no contravenir la misma. </w:t>
      </w:r>
    </w:p>
    <w:p w:rsidR="00FC5012" w:rsidRPr="00FC5012" w:rsidRDefault="00FC5012" w:rsidP="00FC5012">
      <w:pPr>
        <w:spacing w:before="100" w:beforeAutospacing="1" w:after="100" w:afterAutospacing="1" w:line="360" w:lineRule="auto"/>
        <w:ind w:left="567" w:right="616"/>
        <w:jc w:val="both"/>
        <w:rPr>
          <w:rFonts w:ascii="Palatino Linotype" w:hAnsi="Palatino Linotype" w:cs="Arial"/>
          <w:i/>
          <w:szCs w:val="28"/>
        </w:rPr>
      </w:pPr>
      <w:r w:rsidRPr="00FC5012">
        <w:rPr>
          <w:rFonts w:ascii="Palatino Linotype" w:hAnsi="Palatino Linotype" w:cs="Arial"/>
          <w:i/>
          <w:szCs w:val="28"/>
        </w:rPr>
        <w:lastRenderedPageBreak/>
        <w:t>Sirve de Apoyo a lo anterior, por analogía la Tesis Jurisprudencial Número 3ª./J.7/91, Publicada en el Semanario Judicial de la Federación y su Gaceta bajo el número de registro 174,177, que establece lo siguiente:</w:t>
      </w:r>
    </w:p>
    <w:p w:rsidR="00FC5012" w:rsidRPr="00FC5012" w:rsidRDefault="00FC5012" w:rsidP="00FC5012">
      <w:pPr>
        <w:spacing w:before="100" w:beforeAutospacing="1" w:after="100" w:afterAutospacing="1" w:line="360" w:lineRule="auto"/>
        <w:ind w:left="567" w:right="616"/>
        <w:jc w:val="both"/>
        <w:rPr>
          <w:rFonts w:ascii="Palatino Linotype" w:hAnsi="Palatino Linotype" w:cs="Arial"/>
          <w:i/>
          <w:szCs w:val="28"/>
        </w:rPr>
      </w:pPr>
      <w:r w:rsidRPr="00FC5012">
        <w:rPr>
          <w:rFonts w:ascii="Palatino Linotype" w:hAnsi="Palatino Linotype" w:cs="Arial"/>
          <w:i/>
          <w:szCs w:val="28"/>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C5012" w:rsidRPr="00FC5012" w:rsidRDefault="00FC5012" w:rsidP="00FC5012">
      <w:pPr>
        <w:spacing w:before="100" w:beforeAutospacing="1" w:after="100" w:afterAutospacing="1" w:line="360" w:lineRule="auto"/>
        <w:ind w:left="567" w:right="616"/>
        <w:jc w:val="both"/>
        <w:rPr>
          <w:rFonts w:ascii="Palatino Linotype" w:hAnsi="Palatino Linotype" w:cs="Arial"/>
          <w:i/>
          <w:szCs w:val="28"/>
        </w:rPr>
      </w:pPr>
      <w:r w:rsidRPr="00FC5012">
        <w:rPr>
          <w:rFonts w:ascii="Palatino Linotype" w:hAnsi="Palatino Linotype" w:cs="Arial"/>
          <w:i/>
          <w:szCs w:val="28"/>
        </w:rPr>
        <w:t xml:space="preserve">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rsidR="00FC5012" w:rsidRPr="00FC5012" w:rsidRDefault="00FC5012" w:rsidP="00FC5012">
      <w:pPr>
        <w:spacing w:before="100" w:beforeAutospacing="1" w:after="100" w:afterAutospacing="1" w:line="360" w:lineRule="auto"/>
        <w:ind w:left="567" w:right="616"/>
        <w:jc w:val="both"/>
        <w:rPr>
          <w:rFonts w:ascii="Palatino Linotype" w:hAnsi="Palatino Linotype" w:cs="Arial"/>
          <w:i/>
          <w:szCs w:val="28"/>
        </w:rPr>
      </w:pPr>
      <w:r w:rsidRPr="00FC5012">
        <w:rPr>
          <w:rFonts w:ascii="Palatino Linotype" w:hAnsi="Palatino Linotype" w:cs="Arial"/>
          <w:i/>
          <w:szCs w:val="28"/>
        </w:rPr>
        <w:t>Sirve de sustento a lo anterior por analogía la tesis jurisprudencial número VI.3o.C. J/60, publicada en el Semanario Judicial de la Federación y su Gaceta bajo el número de registro 176,608 que a la letra dice:</w:t>
      </w:r>
    </w:p>
    <w:p w:rsidR="0069498B" w:rsidRPr="00B62245" w:rsidRDefault="00FC5012" w:rsidP="00FC5012">
      <w:pPr>
        <w:spacing w:before="100" w:beforeAutospacing="1" w:after="100" w:afterAutospacing="1" w:line="360" w:lineRule="auto"/>
        <w:ind w:left="567" w:right="616"/>
        <w:jc w:val="both"/>
        <w:rPr>
          <w:rFonts w:ascii="Palatino Linotype" w:hAnsi="Palatino Linotype" w:cs="Arial"/>
          <w:i/>
          <w:szCs w:val="28"/>
        </w:rPr>
      </w:pPr>
      <w:r w:rsidRPr="00FC5012">
        <w:rPr>
          <w:rFonts w:ascii="Palatino Linotype" w:hAnsi="Palatino Linotype" w:cs="Arial"/>
          <w:i/>
          <w:szCs w:val="28"/>
        </w:rPr>
        <w:t xml:space="preserve">“ACTOS CONSENTIDOS. SON LOS QUE NO SE IMPUGNAN MEDIANTE EL RECURSO IDÓNEO. Debe reputarse como consentido el acto que no se impugnó por el medio establecido por la ley, ya que si se hizo uso de otro no previsto por ella o si se </w:t>
      </w:r>
      <w:r w:rsidRPr="00FC5012">
        <w:rPr>
          <w:rFonts w:ascii="Palatino Linotype" w:hAnsi="Palatino Linotype" w:cs="Arial"/>
          <w:i/>
          <w:szCs w:val="28"/>
        </w:rPr>
        <w:lastRenderedPageBreak/>
        <w:t>hace una simple manifestación de inconformidad, tales actuaciones no producen efectos jurídicos tendientes a revocar, confirmar o modificar el acto reclamado en amparo, lo que significa consentimiento del mismo por falta de impugnación eficaz.”</w:t>
      </w:r>
      <w:r w:rsidR="00B62245">
        <w:rPr>
          <w:rFonts w:ascii="Palatino Linotype" w:hAnsi="Palatino Linotype" w:cs="Arial"/>
          <w:i/>
          <w:szCs w:val="28"/>
        </w:rPr>
        <w:t>”</w:t>
      </w:r>
    </w:p>
    <w:p w:rsidR="0046491C" w:rsidRPr="001574EC"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Derivado de lo transcrito con anterioridad, considero que la</w:t>
      </w:r>
      <w:r w:rsidR="00260D6C" w:rsidRPr="00072966">
        <w:rPr>
          <w:rFonts w:ascii="Palatino Linotype" w:hAnsi="Palatino Linotype" w:cs="Arial"/>
          <w:sz w:val="24"/>
          <w:szCs w:val="24"/>
        </w:rPr>
        <w:t xml:space="preserve"> incorporación de dicho argumento</w:t>
      </w:r>
      <w:r w:rsidRPr="00072966">
        <w:rPr>
          <w:rFonts w:ascii="Palatino Linotype" w:hAnsi="Palatino Linotype" w:cs="Arial"/>
          <w:sz w:val="24"/>
          <w:szCs w:val="24"/>
        </w:rPr>
        <w:t xml:space="preserve"> en la resolución en comento resulta a todas luces innecesari</w:t>
      </w:r>
      <w:r w:rsidR="00E61AB8" w:rsidRPr="00072966">
        <w:rPr>
          <w:rFonts w:ascii="Palatino Linotype" w:hAnsi="Palatino Linotype" w:cs="Arial"/>
          <w:sz w:val="24"/>
          <w:szCs w:val="24"/>
        </w:rPr>
        <w:t xml:space="preserve">o y además no da </w:t>
      </w:r>
      <w:r w:rsidRPr="00072966">
        <w:rPr>
          <w:rFonts w:ascii="Palatino Linotype" w:hAnsi="Palatino Linotype" w:cs="Arial"/>
          <w:sz w:val="24"/>
          <w:szCs w:val="24"/>
        </w:rPr>
        <w:t>lugar a invocarlos en el derecho humano fundamental de acceder a la información pública gubernamental.</w:t>
      </w:r>
      <w:r w:rsidRPr="0007296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72966">
        <w:rPr>
          <w:rFonts w:ascii="Palatino Linotype" w:eastAsia="Calibri" w:hAnsi="Palatino Linotype" w:cs="Times New Roman"/>
          <w:b/>
          <w:sz w:val="24"/>
          <w:szCs w:val="24"/>
          <w:lang w:val="es-ES" w:eastAsia="es-ES"/>
        </w:rPr>
        <w:t>SUJETO OBLIGADO</w:t>
      </w:r>
      <w:r w:rsidRPr="00072966">
        <w:rPr>
          <w:rFonts w:ascii="Palatino Linotype" w:eastAsia="Calibri" w:hAnsi="Palatino Linotype" w:cs="Times New Roman"/>
          <w:sz w:val="24"/>
          <w:szCs w:val="24"/>
          <w:lang w:val="es-ES" w:eastAsia="es-ES"/>
        </w:rPr>
        <w:t xml:space="preserve"> ha dado respuesta a la solicitud de información</w:t>
      </w:r>
      <w:r w:rsidR="00260D6C" w:rsidRPr="00072966">
        <w:rPr>
          <w:rFonts w:ascii="Palatino Linotype" w:eastAsia="Calibri" w:hAnsi="Palatino Linotype" w:cs="Times New Roman"/>
          <w:sz w:val="24"/>
          <w:szCs w:val="24"/>
          <w:lang w:val="es-ES" w:eastAsia="es-ES"/>
        </w:rPr>
        <w:t xml:space="preserve"> en lo particular</w:t>
      </w:r>
      <w:r w:rsidRPr="00072966">
        <w:rPr>
          <w:rFonts w:ascii="Palatino Linotype" w:eastAsia="Calibri" w:hAnsi="Palatino Linotype" w:cs="Times New Roman"/>
          <w:sz w:val="24"/>
          <w:szCs w:val="24"/>
          <w:lang w:val="es-ES" w:eastAsia="es-ES"/>
        </w:rPr>
        <w:t>, t</w:t>
      </w:r>
      <w:r w:rsidR="00260D6C" w:rsidRPr="00072966">
        <w:rPr>
          <w:rFonts w:ascii="Palatino Linotype" w:eastAsia="Calibri" w:hAnsi="Palatino Linotype" w:cs="Times New Roman"/>
          <w:sz w:val="24"/>
          <w:szCs w:val="24"/>
          <w:lang w:val="es-ES" w:eastAsia="es-ES"/>
        </w:rPr>
        <w:t xml:space="preserve">an es así que al analizar la respuesta emitida se concluyó que colmó con </w:t>
      </w:r>
      <w:r w:rsidRPr="00072966">
        <w:rPr>
          <w:rFonts w:ascii="Palatino Linotype" w:eastAsia="Calibri" w:hAnsi="Palatino Linotype" w:cs="Times New Roman"/>
          <w:sz w:val="24"/>
          <w:szCs w:val="24"/>
          <w:lang w:val="es-ES" w:eastAsia="es-ES"/>
        </w:rPr>
        <w:t xml:space="preserve">el derecho de acceso a la información, </w:t>
      </w:r>
      <w:r w:rsidR="00260D6C" w:rsidRPr="00072966">
        <w:rPr>
          <w:rFonts w:ascii="Palatino Linotype" w:eastAsia="Calibri" w:hAnsi="Palatino Linotype" w:cs="Times New Roman"/>
          <w:sz w:val="24"/>
          <w:szCs w:val="24"/>
          <w:lang w:val="es-ES" w:eastAsia="es-ES"/>
        </w:rPr>
        <w:t xml:space="preserve">lo que en mi parecer </w:t>
      </w:r>
      <w:r w:rsidRPr="00072966">
        <w:rPr>
          <w:rFonts w:ascii="Palatino Linotype" w:eastAsia="Calibri" w:hAnsi="Palatino Linotype" w:cs="Times New Roman"/>
          <w:sz w:val="24"/>
          <w:szCs w:val="24"/>
          <w:lang w:val="es-ES" w:eastAsia="es-ES"/>
        </w:rPr>
        <w:t>considero, es innecesario señalar</w:t>
      </w:r>
      <w:r w:rsidR="00194B6A" w:rsidRPr="0007296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072966">
        <w:rPr>
          <w:rFonts w:ascii="Palatino Linotype" w:eastAsia="Calibri" w:hAnsi="Palatino Linotype" w:cs="Times New Roman"/>
          <w:sz w:val="24"/>
          <w:szCs w:val="24"/>
          <w:lang w:val="es-ES" w:eastAsia="es-ES"/>
        </w:rPr>
        <w:t>rlo invocando el multicitado argumento de</w:t>
      </w:r>
      <w:r w:rsidR="00194B6A" w:rsidRPr="00072966">
        <w:rPr>
          <w:rFonts w:ascii="Palatino Linotype" w:eastAsia="Calibri" w:hAnsi="Palatino Linotype" w:cs="Times New Roman"/>
          <w:sz w:val="24"/>
          <w:szCs w:val="24"/>
          <w:lang w:val="es-ES" w:eastAsia="es-ES"/>
        </w:rPr>
        <w:t xml:space="preserve"> actos consentidos.</w:t>
      </w:r>
    </w:p>
    <w:p w:rsidR="001574EC" w:rsidRPr="00072966" w:rsidRDefault="001574EC" w:rsidP="001574EC">
      <w:pPr>
        <w:pStyle w:val="Prrafodelista"/>
        <w:spacing w:before="240" w:after="240" w:line="360" w:lineRule="auto"/>
        <w:ind w:left="360" w:right="49"/>
        <w:jc w:val="both"/>
        <w:rPr>
          <w:rFonts w:ascii="Palatino Linotype" w:hAnsi="Palatino Linotype" w:cs="Arial"/>
          <w:sz w:val="24"/>
          <w:szCs w:val="24"/>
        </w:rPr>
      </w:pP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3" w:name="_Toc525572737"/>
      <w:r w:rsidRPr="00072966">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w:t>
      </w:r>
      <w:r w:rsidRPr="00072966">
        <w:rPr>
          <w:rFonts w:ascii="Palatino Linotype" w:hAnsi="Palatino Linotype" w:cs="Arial"/>
          <w:sz w:val="24"/>
          <w:szCs w:val="24"/>
        </w:rPr>
        <w:lastRenderedPageBreak/>
        <w:t>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w:t>
      </w:r>
      <w:r w:rsidRPr="00072966">
        <w:rPr>
          <w:rFonts w:ascii="Palatino Linotype" w:hAnsi="Palatino Linotype" w:cs="Arial"/>
          <w:sz w:val="24"/>
          <w:szCs w:val="24"/>
        </w:rPr>
        <w:lastRenderedPageBreak/>
        <w:t xml:space="preserve">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w:t>
      </w:r>
      <w:r w:rsidRPr="00072966">
        <w:rPr>
          <w:rFonts w:ascii="Palatino Linotype" w:hAnsi="Palatino Linotype" w:cs="Arial"/>
          <w:sz w:val="24"/>
          <w:szCs w:val="24"/>
        </w:rPr>
        <w:lastRenderedPageBreak/>
        <w:t>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w:t>
      </w:r>
      <w:r w:rsidRPr="00072966">
        <w:rPr>
          <w:rFonts w:ascii="Palatino Linotype" w:hAnsi="Palatino Linotype" w:cs="Arial"/>
          <w:szCs w:val="24"/>
        </w:rPr>
        <w:lastRenderedPageBreak/>
        <w:t>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072966">
        <w:rPr>
          <w:rFonts w:ascii="Palatino Linotype" w:hAnsi="Palatino Linotype" w:cs="Arial"/>
          <w:b/>
          <w:szCs w:val="24"/>
        </w:rPr>
        <w:t>SUJETOS OBLIGADOS</w:t>
      </w:r>
      <w:r w:rsidRPr="00072966">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ind w:left="284"/>
        <w:jc w:val="both"/>
        <w:rPr>
          <w:rFonts w:ascii="Palatino Linotype" w:hAnsi="Palatino Linotype" w:cs="Arial"/>
          <w:szCs w:val="24"/>
        </w:rPr>
      </w:pPr>
      <w:r w:rsidRPr="00072966">
        <w:rPr>
          <w:rFonts w:ascii="Palatino Linotype" w:hAnsi="Palatino Linotype" w:cs="Arial"/>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w:t>
      </w:r>
      <w:r w:rsidRPr="00072966">
        <w:rPr>
          <w:rFonts w:ascii="Palatino Linotype" w:hAnsi="Palatino Linotype" w:cs="Arial"/>
          <w:szCs w:val="24"/>
        </w:rPr>
        <w:lastRenderedPageBreak/>
        <w:t>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6E2612">
      <w:pPr>
        <w:spacing w:after="0" w:line="240" w:lineRule="auto"/>
        <w:ind w:left="567" w:right="618"/>
        <w:jc w:val="both"/>
        <w:rPr>
          <w:rFonts w:ascii="Palatino Linotype" w:hAnsi="Palatino Linotype" w:cs="Arial"/>
          <w:i/>
        </w:rPr>
      </w:pPr>
      <w:r w:rsidRPr="00072966">
        <w:rPr>
          <w:rFonts w:ascii="Palatino Linotype" w:hAnsi="Palatino Linotype" w:cs="Arial"/>
          <w:i/>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72966"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w:t>
      </w:r>
      <w:r w:rsidRPr="00072966">
        <w:rPr>
          <w:rFonts w:ascii="Palatino Linotype" w:hAnsi="Palatino Linotype" w:cs="Arial"/>
          <w:sz w:val="24"/>
          <w:szCs w:val="24"/>
        </w:rPr>
        <w:lastRenderedPageBreak/>
        <w:t>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6E2612" w:rsidRPr="006E2612" w:rsidRDefault="006E2612" w:rsidP="006E2612">
      <w:pPr>
        <w:spacing w:after="0" w:line="360" w:lineRule="auto"/>
        <w:jc w:val="both"/>
        <w:rPr>
          <w:rFonts w:ascii="Palatino Linotype" w:hAnsi="Palatino Linotype" w:cs="Arial"/>
          <w:sz w:val="24"/>
          <w:szCs w:val="24"/>
        </w:rPr>
      </w:pPr>
    </w:p>
    <w:p w:rsidR="0046491C" w:rsidRPr="00072966" w:rsidRDefault="0046491C" w:rsidP="006E2612">
      <w:pPr>
        <w:pStyle w:val="Sinespaciad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6E2612">
      <w:pPr>
        <w:spacing w:after="0" w:line="24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6E2612">
      <w:pPr>
        <w:spacing w:after="0" w:line="24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6E2612">
      <w:pPr>
        <w:spacing w:after="0" w:line="240" w:lineRule="auto"/>
        <w:rPr>
          <w:rFonts w:ascii="Palatino Linotype" w:hAnsi="Palatino Linotype"/>
          <w:b/>
          <w:sz w:val="24"/>
          <w:szCs w:val="24"/>
        </w:rPr>
      </w:pPr>
      <w:r w:rsidRPr="00072966">
        <w:rPr>
          <w:rFonts w:ascii="Palatino Linotype" w:hAnsi="Palatino Linotype"/>
          <w:b/>
          <w:sz w:val="24"/>
          <w:szCs w:val="24"/>
        </w:rPr>
        <w:t>JGLH/ADM.</w:t>
      </w:r>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A4" w:rsidRDefault="00B851A4" w:rsidP="00E706DA">
      <w:pPr>
        <w:spacing w:after="0" w:line="240" w:lineRule="auto"/>
      </w:pPr>
      <w:r>
        <w:separator/>
      </w:r>
    </w:p>
  </w:endnote>
  <w:endnote w:type="continuationSeparator" w:id="0">
    <w:p w:rsidR="00B851A4" w:rsidRDefault="00B851A4"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231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23180">
              <w:rPr>
                <w:rFonts w:ascii="Palatino Linotype" w:hAnsi="Palatino Linotype"/>
                <w:b/>
                <w:bCs/>
                <w:noProof/>
                <w:sz w:val="20"/>
                <w:szCs w:val="20"/>
              </w:rPr>
              <w:t>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23180">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51E8B" w:rsidRDefault="0062318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231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A4" w:rsidRDefault="00B851A4" w:rsidP="00E706DA">
      <w:pPr>
        <w:spacing w:after="0" w:line="240" w:lineRule="auto"/>
      </w:pPr>
      <w:r>
        <w:separator/>
      </w:r>
    </w:p>
  </w:footnote>
  <w:footnote w:type="continuationSeparator" w:id="0">
    <w:p w:rsidR="00B851A4" w:rsidRDefault="00B851A4"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31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31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231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231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15"/>
  </w:num>
  <w:num w:numId="8">
    <w:abstractNumId w:val="14"/>
  </w:num>
  <w:num w:numId="9">
    <w:abstractNumId w:val="17"/>
  </w:num>
  <w:num w:numId="10">
    <w:abstractNumId w:val="3"/>
  </w:num>
  <w:num w:numId="11">
    <w:abstractNumId w:val="16"/>
  </w:num>
  <w:num w:numId="12">
    <w:abstractNumId w:val="7"/>
  </w:num>
  <w:num w:numId="13">
    <w:abstractNumId w:val="4"/>
  </w:num>
  <w:num w:numId="14">
    <w:abstractNumId w:val="5"/>
  </w:num>
  <w:num w:numId="15">
    <w:abstractNumId w:val="13"/>
  </w:num>
  <w:num w:numId="16">
    <w:abstractNumId w:val="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72966"/>
    <w:rsid w:val="00073F0D"/>
    <w:rsid w:val="000951B4"/>
    <w:rsid w:val="000A77B5"/>
    <w:rsid w:val="000A7B66"/>
    <w:rsid w:val="000D1743"/>
    <w:rsid w:val="000F6CBB"/>
    <w:rsid w:val="0010615C"/>
    <w:rsid w:val="001102C3"/>
    <w:rsid w:val="00122625"/>
    <w:rsid w:val="001574EC"/>
    <w:rsid w:val="00194B6A"/>
    <w:rsid w:val="001A51F3"/>
    <w:rsid w:val="001C545F"/>
    <w:rsid w:val="001D3F34"/>
    <w:rsid w:val="001E0928"/>
    <w:rsid w:val="0020315F"/>
    <w:rsid w:val="002036ED"/>
    <w:rsid w:val="00214EC5"/>
    <w:rsid w:val="00225026"/>
    <w:rsid w:val="00260D6C"/>
    <w:rsid w:val="002620E9"/>
    <w:rsid w:val="00281310"/>
    <w:rsid w:val="002C1F75"/>
    <w:rsid w:val="002D6857"/>
    <w:rsid w:val="002E1956"/>
    <w:rsid w:val="00333DB9"/>
    <w:rsid w:val="00346DBD"/>
    <w:rsid w:val="00367E00"/>
    <w:rsid w:val="003705BB"/>
    <w:rsid w:val="003747A5"/>
    <w:rsid w:val="00386688"/>
    <w:rsid w:val="00393E96"/>
    <w:rsid w:val="003D7B9E"/>
    <w:rsid w:val="00412952"/>
    <w:rsid w:val="00424DE3"/>
    <w:rsid w:val="00444048"/>
    <w:rsid w:val="00452F18"/>
    <w:rsid w:val="0046491C"/>
    <w:rsid w:val="0048490F"/>
    <w:rsid w:val="004C6BBF"/>
    <w:rsid w:val="00525DF2"/>
    <w:rsid w:val="00532410"/>
    <w:rsid w:val="00575478"/>
    <w:rsid w:val="005A3267"/>
    <w:rsid w:val="005D4F74"/>
    <w:rsid w:val="00623180"/>
    <w:rsid w:val="00634736"/>
    <w:rsid w:val="00643C7E"/>
    <w:rsid w:val="006728FD"/>
    <w:rsid w:val="0069498B"/>
    <w:rsid w:val="006D268B"/>
    <w:rsid w:val="006E2612"/>
    <w:rsid w:val="00702BD9"/>
    <w:rsid w:val="00717C0D"/>
    <w:rsid w:val="0072136B"/>
    <w:rsid w:val="0076241F"/>
    <w:rsid w:val="00770016"/>
    <w:rsid w:val="00790E37"/>
    <w:rsid w:val="007A7FAD"/>
    <w:rsid w:val="007C43FB"/>
    <w:rsid w:val="00814E97"/>
    <w:rsid w:val="008361CA"/>
    <w:rsid w:val="00850252"/>
    <w:rsid w:val="00856FA1"/>
    <w:rsid w:val="008822B3"/>
    <w:rsid w:val="008858F1"/>
    <w:rsid w:val="008911CF"/>
    <w:rsid w:val="008977B4"/>
    <w:rsid w:val="008B03B6"/>
    <w:rsid w:val="008E1DCC"/>
    <w:rsid w:val="008F3E81"/>
    <w:rsid w:val="00900E75"/>
    <w:rsid w:val="00902248"/>
    <w:rsid w:val="009156AC"/>
    <w:rsid w:val="00927C4F"/>
    <w:rsid w:val="00937D7D"/>
    <w:rsid w:val="0094239C"/>
    <w:rsid w:val="009C4EF6"/>
    <w:rsid w:val="00A043A9"/>
    <w:rsid w:val="00A626F8"/>
    <w:rsid w:val="00A63717"/>
    <w:rsid w:val="00AA49F3"/>
    <w:rsid w:val="00AB023D"/>
    <w:rsid w:val="00AB126B"/>
    <w:rsid w:val="00AC381E"/>
    <w:rsid w:val="00AE4797"/>
    <w:rsid w:val="00AE5BD5"/>
    <w:rsid w:val="00B120CA"/>
    <w:rsid w:val="00B62245"/>
    <w:rsid w:val="00B851A4"/>
    <w:rsid w:val="00BC7B0C"/>
    <w:rsid w:val="00BF3534"/>
    <w:rsid w:val="00C3709F"/>
    <w:rsid w:val="00C7250F"/>
    <w:rsid w:val="00C901A6"/>
    <w:rsid w:val="00CE0823"/>
    <w:rsid w:val="00D1242B"/>
    <w:rsid w:val="00D15396"/>
    <w:rsid w:val="00D33AF9"/>
    <w:rsid w:val="00D363F7"/>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585D-893C-4554-A08E-9E55E2AB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3765</Words>
  <Characters>20712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2017-05-22T19:49:00Z</cp:lastPrinted>
  <dcterms:created xsi:type="dcterms:W3CDTF">2018-10-29T18:29:00Z</dcterms:created>
  <dcterms:modified xsi:type="dcterms:W3CDTF">2018-10-29T18:29:00Z</dcterms:modified>
</cp:coreProperties>
</file>